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 xml:space="preserve"> 关于</w:t>
      </w:r>
      <w:r>
        <w:rPr>
          <w:rFonts w:hint="eastAsia"/>
          <w:b/>
          <w:bCs/>
          <w:sz w:val="36"/>
          <w:szCs w:val="36"/>
        </w:rPr>
        <w:t>马传染性贫血、马鼻疽实验室疫病检测</w:t>
      </w:r>
    </w:p>
    <w:p>
      <w:pPr>
        <w:jc w:val="center"/>
        <w:rPr>
          <w:rFonts w:hint="eastAsia"/>
          <w:sz w:val="32"/>
          <w:szCs w:val="32"/>
        </w:rPr>
      </w:pPr>
    </w:p>
    <w:p>
      <w:pPr>
        <w:numPr>
          <w:ilvl w:val="0"/>
          <w:numId w:val="1"/>
        </w:numPr>
        <w:jc w:val="left"/>
        <w:rPr>
          <w:rFonts w:hint="default" w:ascii="宋体" w:hAnsi="宋体" w:eastAsia="宋体" w:cs="宋体"/>
          <w:sz w:val="32"/>
          <w:szCs w:val="32"/>
          <w:lang w:val="en-US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应农业农村部文件 农牧发〔2023〕16 号，农业农村部关于印发《生猪产地检疫规程》等 22 个动物检疫规程的通知中《马属动物产地检疫规程》；第4． 3． 5 规定：已经取得产地检疫证明的马属动物,展示、演出比赛后 需要继续运输的,提供检疫申报单、原始检疫证明和完整进出场记录;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原始检疫证明超过调运有效期的,还应当提供马传染性贫血、马鼻疽实验室疫病检测报告。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鼓励使用动物检疫管理信息化系统申报检疫。（详情见附件二）</w:t>
      </w:r>
      <w:bookmarkStart w:id="1" w:name="_GoBack"/>
      <w:bookmarkEnd w:id="1"/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检疫地址：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广东省农业科学院动物卫生研究所（广东省广州市天河区华南快速干线广东省科技干部学院西北侧）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检疫方式：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自行取血样并联系</w:t>
      </w:r>
      <w:r>
        <w:rPr>
          <w:rFonts w:hint="eastAsia" w:ascii="宋体" w:hAnsi="宋体" w:eastAsia="宋体" w:cs="宋体"/>
          <w:sz w:val="32"/>
          <w:szCs w:val="32"/>
        </w:rPr>
        <w:t>动物卫生研究所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，填写委托单（见附件一）一并邮寄。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联系电话：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020-85292955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邮寄地址：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广东省广州市天河区五山路白石岗街动物卫生研究所，郑博彬，15813365382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u w:val="none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检测报告费用：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9"/>
          <w:szCs w:val="29"/>
          <w:u w:val="none"/>
          <w:lang w:val="en-US" w:eastAsia="zh-CN" w:bidi="ar"/>
        </w:rPr>
        <w:t>马传染性贫血检测报告 200元</w:t>
      </w:r>
    </w:p>
    <w:p>
      <w:pPr>
        <w:numPr>
          <w:ilvl w:val="0"/>
          <w:numId w:val="0"/>
        </w:numPr>
        <w:ind w:firstLine="2610" w:firstLineChars="90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9"/>
          <w:szCs w:val="29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9"/>
          <w:szCs w:val="29"/>
          <w:u w:val="none"/>
          <w:lang w:val="en-US" w:eastAsia="zh-CN" w:bidi="ar"/>
        </w:rPr>
        <w:t>马鼻疽实验室疫病检测报告200元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9"/>
          <w:szCs w:val="29"/>
          <w:u w:val="none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9"/>
          <w:szCs w:val="29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9"/>
          <w:szCs w:val="29"/>
          <w:u w:val="none"/>
          <w:lang w:val="en-US" w:eastAsia="zh-CN" w:bidi="ar"/>
        </w:rPr>
        <w:t>注：收到检测血样后2～3个工作日出检测报告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9"/>
          <w:szCs w:val="29"/>
          <w:u w:val="none"/>
          <w:lang w:val="en-US" w:eastAsia="zh-CN" w:bidi="ar"/>
        </w:rPr>
      </w:pPr>
    </w:p>
    <w:p>
      <w:pPr>
        <w:jc w:val="left"/>
        <w:rPr>
          <w:rFonts w:hint="default" w:ascii="宋体" w:hAnsi="宋体" w:eastAsiaTheme="minorEastAsia"/>
          <w:b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color w:val="000000"/>
          <w:sz w:val="21"/>
          <w:szCs w:val="21"/>
          <w:lang w:val="en-US" w:eastAsia="zh-CN"/>
        </w:rPr>
        <w:t>附件一</w:t>
      </w:r>
    </w:p>
    <w:p>
      <w:pPr>
        <w:jc w:val="center"/>
        <w:rPr>
          <w:rFonts w:hint="eastAsia" w:ascii="宋体" w:hAnsi="宋体"/>
          <w:b/>
          <w:color w:val="000000"/>
          <w:sz w:val="36"/>
          <w:szCs w:val="36"/>
        </w:rPr>
      </w:pPr>
      <w:r>
        <w:rPr>
          <w:rFonts w:hint="eastAsia" w:ascii="宋体" w:hAnsi="宋体"/>
          <w:b/>
          <w:color w:val="000000"/>
          <w:sz w:val="36"/>
          <w:szCs w:val="36"/>
        </w:rPr>
        <w:t>承接业务委托单</w:t>
      </w:r>
    </w:p>
    <w:p>
      <w:pPr>
        <w:jc w:val="left"/>
        <w:rPr>
          <w:rFonts w:ascii="宋体" w:hAnsi="宋体"/>
          <w:b/>
          <w:sz w:val="24"/>
          <w:szCs w:val="24"/>
        </w:rPr>
      </w:pPr>
    </w:p>
    <w:p>
      <w:pPr>
        <w:jc w:val="left"/>
        <w:rPr>
          <w:rFonts w:hint="eastAsia" w:ascii="宋体" w:hAnsi="宋体"/>
          <w:bCs/>
          <w:sz w:val="24"/>
          <w:szCs w:val="24"/>
        </w:rPr>
      </w:pPr>
      <w:r>
        <w:rPr>
          <w:rFonts w:ascii="宋体" w:hAnsi="宋体"/>
          <w:bCs/>
          <w:sz w:val="24"/>
          <w:szCs w:val="24"/>
        </w:rPr>
        <w:t>管理编号</w:t>
      </w:r>
      <w:r>
        <w:rPr>
          <w:rFonts w:hint="eastAsia" w:ascii="宋体" w:hAnsi="宋体"/>
          <w:bCs/>
          <w:sz w:val="24"/>
          <w:szCs w:val="24"/>
        </w:rPr>
        <w:t>：</w:t>
      </w:r>
      <w:bookmarkStart w:id="0" w:name="_Hlk514937127"/>
      <w:r>
        <w:rPr>
          <w:rFonts w:ascii="宋体" w:hAnsi="宋体"/>
          <w:bCs/>
          <w:sz w:val="24"/>
          <w:szCs w:val="24"/>
        </w:rPr>
        <w:t>GVDC/CX-</w:t>
      </w:r>
      <w:r>
        <w:rPr>
          <w:rFonts w:hint="eastAsia" w:ascii="宋体" w:hAnsi="宋体"/>
          <w:bCs/>
          <w:sz w:val="24"/>
          <w:szCs w:val="24"/>
        </w:rPr>
        <w:t>7</w:t>
      </w:r>
      <w:r>
        <w:rPr>
          <w:rFonts w:ascii="宋体" w:hAnsi="宋体"/>
          <w:bCs/>
          <w:sz w:val="24"/>
          <w:szCs w:val="24"/>
        </w:rPr>
        <w:t>.1</w:t>
      </w:r>
      <w:r>
        <w:rPr>
          <w:rFonts w:hint="eastAsia" w:ascii="宋体" w:hAnsi="宋体"/>
          <w:bCs/>
          <w:sz w:val="24"/>
          <w:szCs w:val="24"/>
        </w:rPr>
        <w:t>-0</w:t>
      </w:r>
      <w:r>
        <w:rPr>
          <w:rFonts w:ascii="宋体" w:hAnsi="宋体"/>
          <w:bCs/>
          <w:sz w:val="24"/>
          <w:szCs w:val="24"/>
        </w:rPr>
        <w:t>1-JL01</w:t>
      </w:r>
      <w:bookmarkEnd w:id="0"/>
      <w:r>
        <w:rPr>
          <w:rFonts w:hint="eastAsia" w:ascii="宋体" w:hAnsi="宋体"/>
          <w:bCs/>
          <w:sz w:val="24"/>
          <w:szCs w:val="24"/>
        </w:rPr>
        <w:t xml:space="preserve">                       </w:t>
      </w:r>
      <w:r>
        <w:rPr>
          <w:bCs/>
        </w:rPr>
        <w:t xml:space="preserve">   </w:t>
      </w:r>
      <w:r>
        <w:rPr>
          <w:rFonts w:hint="eastAsia"/>
          <w:bCs/>
        </w:rPr>
        <w:t>编号：</w:t>
      </w:r>
    </w:p>
    <w:tbl>
      <w:tblPr>
        <w:tblStyle w:val="4"/>
        <w:tblW w:w="10635" w:type="dxa"/>
        <w:tblInd w:w="-9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2581"/>
        <w:gridCol w:w="1663"/>
        <w:gridCol w:w="1352"/>
        <w:gridCol w:w="567"/>
        <w:gridCol w:w="142"/>
        <w:gridCol w:w="567"/>
        <w:gridCol w:w="409"/>
        <w:gridCol w:w="16"/>
        <w:gridCol w:w="601"/>
        <w:gridCol w:w="12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40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Cs w:val="21"/>
              </w:rPr>
              <w:t>委托业务</w:t>
            </w:r>
          </w:p>
        </w:tc>
        <w:tc>
          <w:tcPr>
            <w:tcW w:w="4244" w:type="dxa"/>
            <w:gridSpan w:val="2"/>
            <w:noWrap w:val="0"/>
            <w:vAlign w:val="top"/>
          </w:tcPr>
          <w:p>
            <w:pPr>
              <w:jc w:val="left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检测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其他</w:t>
            </w:r>
          </w:p>
        </w:tc>
        <w:tc>
          <w:tcPr>
            <w:tcW w:w="2061" w:type="dxa"/>
            <w:gridSpan w:val="3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委托单编号</w:t>
            </w:r>
          </w:p>
        </w:tc>
        <w:tc>
          <w:tcPr>
            <w:tcW w:w="2890" w:type="dxa"/>
            <w:gridSpan w:val="5"/>
            <w:noWrap w:val="0"/>
            <w:vAlign w:val="top"/>
          </w:tcPr>
          <w:p>
            <w:pPr>
              <w:jc w:val="left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40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Cs w:val="21"/>
              </w:rPr>
              <w:t>收样日期</w:t>
            </w:r>
          </w:p>
        </w:tc>
        <w:tc>
          <w:tcPr>
            <w:tcW w:w="2581" w:type="dxa"/>
            <w:noWrap w:val="0"/>
            <w:vAlign w:val="top"/>
          </w:tcPr>
          <w:p>
            <w:pPr>
              <w:jc w:val="left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</w:p>
        </w:tc>
        <w:tc>
          <w:tcPr>
            <w:tcW w:w="1663" w:type="dxa"/>
            <w:noWrap w:val="0"/>
            <w:vAlign w:val="top"/>
          </w:tcPr>
          <w:p>
            <w:pPr>
              <w:jc w:val="left"/>
              <w:rPr>
                <w:rFonts w:ascii="Times New Roman" w:hAnsi="Times New Roman" w:cs="Times New Roman"/>
                <w:bCs/>
                <w:color w:val="FF0000"/>
                <w:szCs w:val="21"/>
              </w:rPr>
            </w:pPr>
            <w:r>
              <w:rPr>
                <w:rFonts w:ascii="Times New Roman" w:hAnsi="Times New Roman" w:cs="Times New Roman"/>
                <w:color w:val="FF0000"/>
                <w:szCs w:val="21"/>
              </w:rPr>
              <w:t>样品名称</w:t>
            </w:r>
          </w:p>
        </w:tc>
        <w:tc>
          <w:tcPr>
            <w:tcW w:w="2061" w:type="dxa"/>
            <w:gridSpan w:val="3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593" w:type="dxa"/>
            <w:gridSpan w:val="4"/>
            <w:noWrap w:val="0"/>
            <w:vAlign w:val="top"/>
          </w:tcPr>
          <w:p>
            <w:pPr>
              <w:jc w:val="left"/>
              <w:rPr>
                <w:rFonts w:ascii="Times New Roman" w:hAnsi="Times New Roman" w:cs="Times New Roman"/>
                <w:bCs/>
                <w:color w:val="FF0000"/>
                <w:szCs w:val="21"/>
              </w:rPr>
            </w:pPr>
            <w:r>
              <w:rPr>
                <w:rFonts w:ascii="Times New Roman" w:hAnsi="Times New Roman" w:cs="Times New Roman"/>
                <w:color w:val="FF0000"/>
                <w:szCs w:val="21"/>
              </w:rPr>
              <w:t>样品数量</w:t>
            </w:r>
          </w:p>
        </w:tc>
        <w:tc>
          <w:tcPr>
            <w:tcW w:w="1297" w:type="dxa"/>
            <w:noWrap w:val="0"/>
            <w:vAlign w:val="top"/>
          </w:tcPr>
          <w:p>
            <w:pPr>
              <w:jc w:val="left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保存条件</w:t>
            </w:r>
          </w:p>
        </w:tc>
        <w:tc>
          <w:tcPr>
            <w:tcW w:w="5596" w:type="dxa"/>
            <w:gridSpan w:val="3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常规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低温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（</w:t>
            </w:r>
            <w:r>
              <w:rPr>
                <w:rFonts w:ascii="Times New Roman" w:hAnsi="Times New Roman" w:cs="Times New Roman"/>
                <w:bCs/>
                <w:color w:val="000000"/>
                <w:szCs w:val="21"/>
              </w:rPr>
              <w:t>4 ℃/-20℃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）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其它</w:t>
            </w:r>
          </w:p>
        </w:tc>
        <w:tc>
          <w:tcPr>
            <w:tcW w:w="1276" w:type="dxa"/>
            <w:gridSpan w:val="3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样品状态</w:t>
            </w:r>
          </w:p>
        </w:tc>
        <w:tc>
          <w:tcPr>
            <w:tcW w:w="2323" w:type="dxa"/>
            <w:gridSpan w:val="4"/>
            <w:noWrap w:val="0"/>
            <w:vAlign w:val="top"/>
          </w:tcPr>
          <w:p>
            <w:pPr>
              <w:jc w:val="left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来样方式</w:t>
            </w:r>
          </w:p>
        </w:tc>
        <w:tc>
          <w:tcPr>
            <w:tcW w:w="5596" w:type="dxa"/>
            <w:gridSpan w:val="3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自送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快递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托运 </w:t>
            </w:r>
            <w:r>
              <w:rPr>
                <w:rFonts w:ascii="宋体" w:hAnsi="宋体" w:cs="Times New Roman"/>
                <w:color w:val="000000"/>
                <w:szCs w:val="21"/>
              </w:rPr>
              <w:t>□其他</w:t>
            </w:r>
          </w:p>
        </w:tc>
        <w:tc>
          <w:tcPr>
            <w:tcW w:w="1276" w:type="dxa"/>
            <w:gridSpan w:val="3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需要发票</w:t>
            </w:r>
          </w:p>
        </w:tc>
        <w:tc>
          <w:tcPr>
            <w:tcW w:w="2323" w:type="dxa"/>
            <w:gridSpan w:val="4"/>
            <w:noWrap w:val="0"/>
            <w:vAlign w:val="top"/>
          </w:tcPr>
          <w:p>
            <w:pPr>
              <w:jc w:val="left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否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  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免疫情况</w:t>
            </w:r>
          </w:p>
        </w:tc>
        <w:tc>
          <w:tcPr>
            <w:tcW w:w="9195" w:type="dxa"/>
            <w:gridSpan w:val="10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不适用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否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不详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是 免疫日期：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      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疫苗种类：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报告交付时限</w:t>
            </w:r>
          </w:p>
        </w:tc>
        <w:tc>
          <w:tcPr>
            <w:tcW w:w="9195" w:type="dxa"/>
            <w:gridSpan w:val="10"/>
            <w:noWrap w:val="0"/>
            <w:vAlign w:val="center"/>
          </w:tcPr>
          <w:p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标准时间（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3~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5个工作日）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2个工作日（加收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0%）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1个工作日（加收100%）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报告交付方式</w:t>
            </w:r>
          </w:p>
        </w:tc>
        <w:tc>
          <w:tcPr>
            <w:tcW w:w="9195" w:type="dxa"/>
            <w:gridSpan w:val="10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自取 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传真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电子邮件 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快递到付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快递已付（加收25元）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报告份数</w:t>
            </w:r>
          </w:p>
        </w:tc>
        <w:tc>
          <w:tcPr>
            <w:tcW w:w="4244" w:type="dxa"/>
            <w:gridSpan w:val="2"/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1份 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2份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其它：</w:t>
            </w:r>
          </w:p>
        </w:tc>
        <w:tc>
          <w:tcPr>
            <w:tcW w:w="3037" w:type="dxa"/>
            <w:gridSpan w:val="5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是否同意采用非标方法</w:t>
            </w:r>
          </w:p>
        </w:tc>
        <w:tc>
          <w:tcPr>
            <w:tcW w:w="1914" w:type="dxa"/>
            <w:gridSpan w:val="3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否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  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余样处理</w:t>
            </w:r>
          </w:p>
        </w:tc>
        <w:tc>
          <w:tcPr>
            <w:tcW w:w="4244" w:type="dxa"/>
            <w:gridSpan w:val="2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委托方取回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诊断中心处理</w:t>
            </w:r>
          </w:p>
        </w:tc>
        <w:tc>
          <w:tcPr>
            <w:tcW w:w="3037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ELISA结果判定引入不确定度   </w:t>
            </w:r>
          </w:p>
        </w:tc>
        <w:tc>
          <w:tcPr>
            <w:tcW w:w="1914" w:type="dxa"/>
            <w:gridSpan w:val="3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否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是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不适用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40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cs="Times New Roman"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Cs w:val="21"/>
              </w:rPr>
              <w:t>报告类型</w:t>
            </w:r>
          </w:p>
        </w:tc>
        <w:tc>
          <w:tcPr>
            <w:tcW w:w="9195" w:type="dxa"/>
            <w:gridSpan w:val="10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非认证认可报告      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认证报告     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认可报告（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含非认可项目）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40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cs="Times New Roman"/>
                <w:bCs/>
                <w:color w:val="FF0000"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color w:val="FF0000"/>
                <w:szCs w:val="21"/>
              </w:rPr>
              <w:t>委 托 方</w:t>
            </w:r>
          </w:p>
        </w:tc>
        <w:tc>
          <w:tcPr>
            <w:tcW w:w="6163" w:type="dxa"/>
            <w:gridSpan w:val="4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4" w:type="dxa"/>
            <w:gridSpan w:val="4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FF0000"/>
                <w:szCs w:val="21"/>
              </w:rPr>
            </w:pPr>
            <w:r>
              <w:rPr>
                <w:rFonts w:ascii="Times New Roman" w:hAnsi="Times New Roman" w:cs="Times New Roman"/>
                <w:bCs/>
                <w:color w:val="FF0000"/>
                <w:szCs w:val="21"/>
              </w:rPr>
              <w:t>联系人</w:t>
            </w:r>
          </w:p>
        </w:tc>
        <w:tc>
          <w:tcPr>
            <w:tcW w:w="1898" w:type="dxa"/>
            <w:gridSpan w:val="2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40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cs="Times New Roman"/>
                <w:bCs/>
                <w:color w:val="FF0000"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color w:val="FF0000"/>
                <w:szCs w:val="21"/>
              </w:rPr>
              <w:t xml:space="preserve">地 </w:t>
            </w:r>
            <w:r>
              <w:rPr>
                <w:rFonts w:ascii="Times New Roman" w:hAnsi="Times New Roman" w:cs="Times New Roman"/>
                <w:bCs/>
                <w:color w:val="FF0000"/>
                <w:szCs w:val="21"/>
              </w:rPr>
              <w:t xml:space="preserve">  </w:t>
            </w:r>
            <w:r>
              <w:rPr>
                <w:rFonts w:hint="eastAsia" w:ascii="Times New Roman" w:hAnsi="Times New Roman" w:cs="Times New Roman"/>
                <w:bCs/>
                <w:color w:val="FF0000"/>
                <w:szCs w:val="21"/>
              </w:rPr>
              <w:t>址</w:t>
            </w:r>
          </w:p>
        </w:tc>
        <w:tc>
          <w:tcPr>
            <w:tcW w:w="6163" w:type="dxa"/>
            <w:gridSpan w:val="4"/>
            <w:noWrap w:val="0"/>
            <w:vAlign w:val="top"/>
          </w:tcPr>
          <w:p>
            <w:pPr>
              <w:jc w:val="left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</w:p>
        </w:tc>
        <w:tc>
          <w:tcPr>
            <w:tcW w:w="1134" w:type="dxa"/>
            <w:gridSpan w:val="4"/>
            <w:noWrap w:val="0"/>
            <w:vAlign w:val="top"/>
          </w:tcPr>
          <w:p>
            <w:pPr>
              <w:jc w:val="left"/>
              <w:rPr>
                <w:rFonts w:ascii="Times New Roman" w:hAnsi="Times New Roman" w:cs="Times New Roman"/>
                <w:color w:val="FF0000"/>
                <w:szCs w:val="21"/>
              </w:rPr>
            </w:pPr>
            <w:r>
              <w:rPr>
                <w:rFonts w:ascii="Times New Roman" w:hAnsi="Times New Roman" w:cs="Times New Roman"/>
                <w:bCs/>
                <w:color w:val="FF0000"/>
                <w:szCs w:val="21"/>
              </w:rPr>
              <w:t>联系电话</w:t>
            </w:r>
          </w:p>
        </w:tc>
        <w:tc>
          <w:tcPr>
            <w:tcW w:w="1898" w:type="dxa"/>
            <w:gridSpan w:val="2"/>
            <w:noWrap w:val="0"/>
            <w:vAlign w:val="top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0635" w:type="dxa"/>
            <w:gridSpan w:val="11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Cs/>
                <w:color w:val="000000"/>
                <w:szCs w:val="21"/>
              </w:rPr>
              <w:t>检测项目</w:t>
            </w:r>
            <w:r>
              <w:rPr>
                <w:rFonts w:hint="eastAsia" w:ascii="Times New Roman" w:hAnsi="Times New Roman" w:cs="Times New Roman"/>
                <w:bCs/>
                <w:color w:val="000000"/>
                <w:szCs w:val="21"/>
              </w:rPr>
              <w:t>/</w:t>
            </w:r>
            <w:r>
              <w:rPr>
                <w:rFonts w:ascii="Times New Roman" w:hAnsi="Times New Roman" w:cs="Times New Roman"/>
                <w:bCs/>
                <w:color w:val="000000"/>
                <w:szCs w:val="21"/>
              </w:rPr>
              <w:t>依据标准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0635" w:type="dxa"/>
            <w:gridSpan w:val="11"/>
            <w:noWrap w:val="0"/>
            <w:vAlign w:val="top"/>
          </w:tcPr>
          <w:p>
            <w:pPr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1" w:hRule="atLeast"/>
        </w:trPr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Cs w:val="21"/>
              </w:rPr>
              <w:t>中心</w:t>
            </w:r>
            <w:r>
              <w:rPr>
                <w:rFonts w:ascii="Times New Roman" w:hAnsi="Times New Roman" w:cs="Times New Roman"/>
                <w:bCs/>
                <w:color w:val="000000"/>
                <w:szCs w:val="21"/>
              </w:rPr>
              <w:t>声明</w:t>
            </w:r>
          </w:p>
        </w:tc>
        <w:tc>
          <w:tcPr>
            <w:tcW w:w="9195" w:type="dxa"/>
            <w:gridSpan w:val="10"/>
            <w:noWrap w:val="0"/>
            <w:vAlign w:val="top"/>
          </w:tcPr>
          <w:p>
            <w:pPr>
              <w:numPr>
                <w:ilvl w:val="0"/>
                <w:numId w:val="2"/>
              </w:numPr>
              <w:spacing w:line="280" w:lineRule="exact"/>
              <w:jc w:val="left"/>
              <w:rPr>
                <w:rFonts w:hint="eastAsia"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 w:val="18"/>
                <w:szCs w:val="18"/>
              </w:rPr>
              <w:t>送样人应逐项认真填写本委托单，无内容划“/”或填“不详”。</w:t>
            </w:r>
          </w:p>
          <w:p>
            <w:pPr>
              <w:numPr>
                <w:ilvl w:val="0"/>
                <w:numId w:val="2"/>
              </w:numPr>
              <w:spacing w:line="280" w:lineRule="exact"/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 w:val="18"/>
                <w:szCs w:val="18"/>
              </w:rPr>
              <w:t>送样检测应先交费，交费后本委托单方正式生效；与本中心有约定的按约定方法办。</w:t>
            </w:r>
          </w:p>
          <w:p>
            <w:pPr>
              <w:numPr>
                <w:ilvl w:val="0"/>
                <w:numId w:val="2"/>
              </w:numPr>
              <w:spacing w:line="280" w:lineRule="exact"/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 w:val="18"/>
                <w:szCs w:val="18"/>
              </w:rPr>
              <w:t>本中心仅对收到的样品负责，如对检测结果有异议，应该在接到检测报告10个工作日内书面向本中心提出，逾期不再受理。</w:t>
            </w:r>
          </w:p>
          <w:p>
            <w:pPr>
              <w:numPr>
                <w:ilvl w:val="0"/>
                <w:numId w:val="2"/>
              </w:numPr>
              <w:spacing w:line="280" w:lineRule="exact"/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 w:val="18"/>
                <w:szCs w:val="18"/>
              </w:rPr>
              <w:t>本诊断中心保证工作的客观公正性，对委托单位的商业信息、技术文件等商业秘密履行保密义务。</w:t>
            </w:r>
          </w:p>
          <w:p>
            <w:pPr>
              <w:numPr>
                <w:ilvl w:val="0"/>
                <w:numId w:val="2"/>
              </w:numPr>
              <w:spacing w:line="280" w:lineRule="exact"/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 w:val="18"/>
                <w:szCs w:val="18"/>
              </w:rPr>
              <w:t>如委托方对检测结果有异议而提出复检时，仅限于对原样品按原检测方法进行复检；如果委托方换用新的样品或提出改变方法进行检测，则视作新的委托要求，应该支付相应检测费用。如果复检结果与原结果在方法允许的误差范围内，则委托方需要支付与原检测项目收费标准等额的复检费用。如果复检结果与原结果在方法允许的误差范围内不一致，则本中心退回原检测项目一半的费用，并换发新的检测报告对下属情况，不受理复检：（1）样品已被委托方取回；（2）样品无法保存；（3）样品已用完；（4）样品剩余太少不足以复检；（5）样品超过保存期限已被处理；（6）样品或其测组分不稳定；（7）其它不可重复测试的项目。</w:t>
            </w:r>
          </w:p>
          <w:p>
            <w:pPr>
              <w:numPr>
                <w:ilvl w:val="0"/>
                <w:numId w:val="2"/>
              </w:numPr>
              <w:spacing w:line="280" w:lineRule="exact"/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 w:val="18"/>
                <w:szCs w:val="18"/>
              </w:rPr>
              <w:t>在商定完成时间内，本中心因样本、仪器、方法、人员等原因造成检测不及时或无法检测，在通知委托方后，免于承担本委托单的责任。</w:t>
            </w:r>
          </w:p>
          <w:p>
            <w:pPr>
              <w:numPr>
                <w:ilvl w:val="0"/>
                <w:numId w:val="2"/>
              </w:numPr>
              <w:spacing w:line="280" w:lineRule="exact"/>
              <w:jc w:val="left"/>
              <w:rPr>
                <w:rFonts w:hint="eastAsia"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 w:val="18"/>
                <w:szCs w:val="18"/>
              </w:rPr>
              <w:t>以上信息，在报告出具前因委托方原因有修改的，需要附上相关证明和说明；报告出具后不得修改。</w:t>
            </w:r>
          </w:p>
          <w:p>
            <w:pPr>
              <w:numPr>
                <w:ilvl w:val="0"/>
                <w:numId w:val="2"/>
              </w:numPr>
              <w:spacing w:line="280" w:lineRule="exact"/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 w:val="18"/>
                <w:szCs w:val="18"/>
              </w:rPr>
              <w:t>正式报告一份，如需额外的检测报告，本中心将收取RMB100/份，请在填写委托单时注明。</w:t>
            </w:r>
          </w:p>
          <w:p>
            <w:pPr>
              <w:numPr>
                <w:ilvl w:val="0"/>
                <w:numId w:val="2"/>
              </w:numPr>
              <w:spacing w:line="280" w:lineRule="exact"/>
              <w:jc w:val="left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 w:val="18"/>
                <w:szCs w:val="18"/>
              </w:rPr>
              <w:t>本委托单一式两份，经双方代表签字生效，一份留本中心，一份交委托方。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440" w:type="dxa"/>
            <w:noWrap w:val="0"/>
            <w:vAlign w:val="top"/>
          </w:tcPr>
          <w:p>
            <w:pPr>
              <w:jc w:val="left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bCs/>
                <w:color w:val="000000"/>
                <w:szCs w:val="21"/>
              </w:rPr>
              <w:t>委托方声明</w:t>
            </w:r>
          </w:p>
        </w:tc>
        <w:tc>
          <w:tcPr>
            <w:tcW w:w="9195" w:type="dxa"/>
            <w:gridSpan w:val="10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我已阅读并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清楚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了解诊断中心的声明内容，并对声明内容：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有异议 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无异议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440" w:type="dxa"/>
            <w:noWrap w:val="0"/>
            <w:vAlign w:val="center"/>
          </w:tcPr>
          <w:p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付费方式</w:t>
            </w:r>
          </w:p>
        </w:tc>
        <w:tc>
          <w:tcPr>
            <w:tcW w:w="9195" w:type="dxa"/>
            <w:gridSpan w:val="10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现场支付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银行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汇款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定期结算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预交费 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  元 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sym w:font="Wingdings 2" w:char="00A3"/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其它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440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color w:val="000000"/>
                <w:szCs w:val="21"/>
              </w:rPr>
              <w:t>备   注</w:t>
            </w:r>
          </w:p>
        </w:tc>
        <w:tc>
          <w:tcPr>
            <w:tcW w:w="9195" w:type="dxa"/>
            <w:gridSpan w:val="10"/>
            <w:noWrap w:val="0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Cs/>
          <w:color w:val="000000"/>
          <w:sz w:val="24"/>
          <w:szCs w:val="24"/>
          <w:u w:val="single"/>
        </w:rPr>
      </w:pPr>
      <w:r>
        <w:rPr>
          <w:rFonts w:hint="eastAsia" w:ascii="宋体" w:hAnsi="宋体"/>
          <w:bCs/>
          <w:color w:val="FF0000"/>
          <w:sz w:val="24"/>
          <w:szCs w:val="24"/>
        </w:rPr>
        <w:t>委托方签名</w:t>
      </w:r>
      <w:r>
        <w:rPr>
          <w:rFonts w:hint="eastAsia" w:ascii="宋体" w:hAnsi="宋体"/>
          <w:bCs/>
          <w:color w:val="000000"/>
          <w:sz w:val="24"/>
          <w:szCs w:val="24"/>
        </w:rPr>
        <w:t>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 xml:space="preserve">                   </w:t>
      </w:r>
      <w:r>
        <w:rPr>
          <w:rFonts w:hint="eastAsia" w:ascii="宋体" w:hAnsi="宋体"/>
          <w:bCs/>
          <w:color w:val="000000"/>
          <w:sz w:val="24"/>
          <w:szCs w:val="24"/>
        </w:rPr>
        <w:t xml:space="preserve">             </w:t>
      </w:r>
      <w:r>
        <w:rPr>
          <w:rFonts w:hint="eastAsia" w:ascii="Times New Roman" w:hAnsi="Times New Roman" w:cs="Times New Roman"/>
          <w:color w:val="000000"/>
          <w:sz w:val="24"/>
          <w:szCs w:val="24"/>
        </w:rPr>
        <w:t xml:space="preserve">诊断中心代表签名：  </w:t>
      </w:r>
      <w:r>
        <w:rPr>
          <w:rFonts w:hint="eastAsia" w:ascii="Times New Roman" w:hAnsi="Times New Roman" w:cs="Times New Roman"/>
          <w:color w:val="000000"/>
          <w:sz w:val="24"/>
          <w:szCs w:val="24"/>
          <w:u w:val="single"/>
        </w:rPr>
        <w:t xml:space="preserve">                  </w:t>
      </w:r>
    </w:p>
    <w:p>
      <w:pPr>
        <w:spacing w:line="360" w:lineRule="auto"/>
        <w:ind w:firstLine="1680" w:firstLineChars="700"/>
        <w:jc w:val="left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 xml:space="preserve">年   月    日                        </w:t>
      </w:r>
      <w:r>
        <w:rPr>
          <w:rFonts w:hint="eastAsia" w:ascii="宋体" w:hAnsi="宋体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/>
          <w:bCs/>
          <w:sz w:val="24"/>
          <w:szCs w:val="24"/>
        </w:rPr>
        <w:t xml:space="preserve">    年   月    日</w:t>
      </w:r>
    </w:p>
    <w:p>
      <w:pPr>
        <w:spacing w:line="360" w:lineRule="auto"/>
        <w:ind w:firstLine="1680" w:firstLineChars="700"/>
        <w:jc w:val="left"/>
        <w:rPr>
          <w:rFonts w:hint="eastAsia" w:ascii="宋体" w:hAnsi="宋体"/>
          <w:bCs/>
          <w:sz w:val="24"/>
          <w:szCs w:val="24"/>
        </w:rPr>
      </w:pPr>
    </w:p>
    <w:p>
      <w:pPr>
        <w:jc w:val="left"/>
        <w:rPr>
          <w:rFonts w:hint="default" w:ascii="宋体" w:hAnsi="宋体" w:eastAsiaTheme="minorEastAsia"/>
          <w:b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color w:val="000000"/>
          <w:sz w:val="21"/>
          <w:szCs w:val="21"/>
          <w:lang w:val="en-US" w:eastAsia="zh-CN"/>
        </w:rPr>
        <w:t>附件二</w:t>
      </w:r>
    </w:p>
    <w:p>
      <w:pPr>
        <w:spacing w:line="360" w:lineRule="auto"/>
        <w:jc w:val="left"/>
        <w:rPr>
          <w:rFonts w:hint="default" w:ascii="宋体" w:hAnsi="宋体"/>
          <w:bCs/>
          <w:sz w:val="24"/>
          <w:szCs w:val="24"/>
          <w:lang w:val="en-US" w:eastAsia="zh-CN"/>
        </w:rPr>
      </w:pPr>
      <w:r>
        <w:rPr>
          <w:rFonts w:hint="default" w:ascii="宋体" w:hAnsi="宋体"/>
          <w:bCs/>
          <w:sz w:val="24"/>
          <w:szCs w:val="24"/>
          <w:lang w:val="en-US" w:eastAsia="zh-CN"/>
        </w:rPr>
        <w:drawing>
          <wp:inline distT="0" distB="0" distL="114300" distR="114300">
            <wp:extent cx="6301740" cy="7901940"/>
            <wp:effectExtent l="0" t="0" r="3810" b="3810"/>
            <wp:docPr id="14" name="图片 14" descr="22个动物检疫规程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个动物检疫规程(1)_00"/>
                    <pic:cNvPicPr>
                      <a:picLocks noChangeAspect="1"/>
                    </pic:cNvPicPr>
                  </pic:nvPicPr>
                  <pic:blipFill>
                    <a:blip r:embed="rId5"/>
                    <a:srcRect l="8830" t="19160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790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 w:val="24"/>
          <w:szCs w:val="24"/>
          <w:lang w:val="en-US" w:eastAsia="zh-CN"/>
        </w:rPr>
        <w:drawing>
          <wp:inline distT="0" distB="0" distL="114300" distR="114300">
            <wp:extent cx="6195060" cy="8415655"/>
            <wp:effectExtent l="0" t="0" r="15240" b="4445"/>
            <wp:docPr id="13" name="图片 13" descr="22个动物检疫规程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个动物检疫规程(1)_01"/>
                    <pic:cNvPicPr>
                      <a:picLocks noChangeAspect="1"/>
                    </pic:cNvPicPr>
                  </pic:nvPicPr>
                  <pic:blipFill>
                    <a:blip r:embed="rId6"/>
                    <a:srcRect l="12264" t="9882" b="5836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 w:val="24"/>
          <w:szCs w:val="24"/>
          <w:lang w:val="en-US" w:eastAsia="zh-CN"/>
        </w:rPr>
        <w:drawing>
          <wp:inline distT="0" distB="0" distL="114300" distR="114300">
            <wp:extent cx="5821680" cy="8209915"/>
            <wp:effectExtent l="0" t="0" r="7620" b="635"/>
            <wp:docPr id="12" name="图片 12" descr="22个动物检疫规程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2个动物检疫规程(1)_02"/>
                    <pic:cNvPicPr>
                      <a:picLocks noChangeAspect="1"/>
                    </pic:cNvPicPr>
                  </pic:nvPicPr>
                  <pic:blipFill>
                    <a:blip r:embed="rId7"/>
                    <a:srcRect l="9914" t="10164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 w:val="24"/>
          <w:szCs w:val="24"/>
          <w:lang w:val="en-US" w:eastAsia="zh-CN"/>
        </w:rPr>
        <w:drawing>
          <wp:inline distT="0" distB="0" distL="114300" distR="114300">
            <wp:extent cx="5994400" cy="8560435"/>
            <wp:effectExtent l="0" t="0" r="6350" b="12065"/>
            <wp:docPr id="9" name="图片 9" descr="22个动物检疫规程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个动物检疫规程(1)_05"/>
                    <pic:cNvPicPr>
                      <a:picLocks noChangeAspect="1"/>
                    </pic:cNvPicPr>
                  </pic:nvPicPr>
                  <pic:blipFill>
                    <a:blip r:embed="rId8"/>
                    <a:srcRect l="10818" t="993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 w:val="24"/>
          <w:szCs w:val="24"/>
          <w:lang w:val="en-US" w:eastAsia="zh-CN"/>
        </w:rPr>
        <w:drawing>
          <wp:inline distT="0" distB="0" distL="114300" distR="114300">
            <wp:extent cx="5804535" cy="8399145"/>
            <wp:effectExtent l="0" t="0" r="5715" b="1905"/>
            <wp:docPr id="11" name="图片 11" descr="22个动物检疫规程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个动物检疫规程(1)_03"/>
                    <pic:cNvPicPr>
                      <a:picLocks noChangeAspect="1"/>
                    </pic:cNvPicPr>
                  </pic:nvPicPr>
                  <pic:blipFill>
                    <a:blip r:embed="rId9"/>
                    <a:srcRect l="9734" t="7633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 w:val="24"/>
          <w:szCs w:val="24"/>
          <w:lang w:val="en-US" w:eastAsia="zh-CN"/>
        </w:rPr>
        <w:drawing>
          <wp:inline distT="0" distB="0" distL="114300" distR="114300">
            <wp:extent cx="5916930" cy="8417560"/>
            <wp:effectExtent l="0" t="0" r="7620" b="2540"/>
            <wp:docPr id="10" name="图片 10" descr="22个动物检疫规程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2个动物检疫规程(1)_04"/>
                    <pic:cNvPicPr>
                      <a:picLocks noChangeAspect="1"/>
                    </pic:cNvPicPr>
                  </pic:nvPicPr>
                  <pic:blipFill>
                    <a:blip r:embed="rId10"/>
                    <a:srcRect l="10095" t="9550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 w:val="24"/>
          <w:szCs w:val="24"/>
          <w:lang w:val="en-US" w:eastAsia="zh-CN"/>
        </w:rPr>
        <w:drawing>
          <wp:inline distT="0" distB="0" distL="114300" distR="114300">
            <wp:extent cx="5970905" cy="8399145"/>
            <wp:effectExtent l="0" t="0" r="10795" b="1905"/>
            <wp:docPr id="8" name="图片 8" descr="22个动物检疫规程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个动物检疫规程(1)_06"/>
                    <pic:cNvPicPr>
                      <a:picLocks noChangeAspect="1"/>
                    </pic:cNvPicPr>
                  </pic:nvPicPr>
                  <pic:blipFill>
                    <a:blip r:embed="rId11"/>
                    <a:srcRect l="10095" t="10572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E-BZ">
    <w:altName w:val="Sazanami Minch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FSK--GBK1-0">
    <w:altName w:val="Sazanami Minch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-BX">
    <w:altName w:val="Sazanami Minch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zanami Mincho">
    <w:panose1 w:val="02000009000000000000"/>
    <w:charset w:val="80"/>
    <w:family w:val="auto"/>
    <w:pitch w:val="default"/>
    <w:sig w:usb0="A00002BF" w:usb1="68C7FCFB" w:usb2="00000010" w:usb3="00000000" w:csb0="8002009F" w:csb1="DFD70000"/>
  </w:font>
  <w:font w:name="E-F1">
    <w:altName w:val="Sazanami Mincho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5PuKjdAgAAJgYAAA4AAABkcnMvZTJvRG9jLnhtbK1US27bMBDdF+gd&#10;CO4VSY7s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3k+4q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D6DEA5"/>
    <w:multiLevelType w:val="singleLevel"/>
    <w:tmpl w:val="DBD6DEA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A0EAC04"/>
    <w:multiLevelType w:val="singleLevel"/>
    <w:tmpl w:val="FA0EAC0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kNWI0ZWRjMmJmZDYxNzM3ZTA0ZDhiN2NjMmEzN2QifQ=="/>
  </w:docVars>
  <w:rsids>
    <w:rsidRoot w:val="64E378A3"/>
    <w:rsid w:val="21FD5E02"/>
    <w:rsid w:val="64E3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2024-02-05T02:53:00Z</dcterms:created>
  <dc:creator>/Fantasy＠_＠%</dc:creator>
  <cp:lastModifiedBy>/Fantasy＠_＠%</cp:lastModifiedBy>
  <dcterms:modified xsi:type="dcterms:W3CDTF">2024-02-05T03:46:20Z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2052-12.1.0.16309</vt:lpwstr>
  </property>
  <property fmtid="{D5CDD505-2E9C-101B-9397-08002B2CF9AE}" pid="3" name="ICV">
    <vt:lpwstr>ED5967F258034532A833D327248702B6_13</vt:lpwstr>
  </property>
</Properties>
</file>